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A9F3" w14:textId="77777777" w:rsidR="0016794C" w:rsidRDefault="0016794C"/>
    <w:p w14:paraId="468E219A" w14:textId="77777777" w:rsidR="0016794C" w:rsidRDefault="0016794C"/>
    <w:p w14:paraId="3FB40EAF" w14:textId="77777777" w:rsidR="0016794C" w:rsidRDefault="0016794C"/>
    <w:p w14:paraId="27DE8FD0" w14:textId="77777777" w:rsidR="0016794C" w:rsidRDefault="0016794C"/>
    <w:p w14:paraId="4FF2E70E" w14:textId="77777777" w:rsidR="0016794C" w:rsidRDefault="0016794C"/>
    <w:p w14:paraId="1E30B7B7" w14:textId="41291AE2" w:rsidR="0016794C" w:rsidRDefault="0016794C"/>
    <w:p w14:paraId="60F92944" w14:textId="51B0F563" w:rsidR="00D92485" w:rsidRDefault="00D92485"/>
    <w:p w14:paraId="0CC2AF15" w14:textId="23C3837C" w:rsidR="00D92485" w:rsidRDefault="00D92485"/>
    <w:p w14:paraId="1E97F122" w14:textId="77777777" w:rsidR="00D92485" w:rsidRDefault="00D92485"/>
    <w:p w14:paraId="05939466" w14:textId="77777777" w:rsidR="00D92485" w:rsidRDefault="00D92485" w:rsidP="00D92485">
      <w:pPr>
        <w:spacing w:before="9"/>
        <w:ind w:left="20"/>
        <w:rPr>
          <w:b/>
          <w:sz w:val="32"/>
        </w:rPr>
      </w:pPr>
      <w:r>
        <w:rPr>
          <w:b/>
          <w:color w:val="0064B1"/>
          <w:spacing w:val="-2"/>
          <w:sz w:val="32"/>
        </w:rPr>
        <w:t>PRESSEMITTEILUNG</w:t>
      </w:r>
    </w:p>
    <w:p w14:paraId="18B62F65" w14:textId="77777777" w:rsidR="00D92485" w:rsidRDefault="00D92485"/>
    <w:p w14:paraId="3D9A62A1" w14:textId="7BA6C62C" w:rsidR="00D92485" w:rsidRDefault="00303EEF">
      <w:pPr>
        <w:rPr>
          <w:b/>
          <w:color w:val="0064B1"/>
          <w:sz w:val="24"/>
          <w:szCs w:val="24"/>
        </w:rPr>
      </w:pPr>
      <w:r w:rsidRPr="00303EEF">
        <w:rPr>
          <w:b/>
          <w:color w:val="0064B1"/>
          <w:sz w:val="28"/>
        </w:rPr>
        <w:t>Diabetes und Parodontitis: Entzündung als gemeinsame Schnittstelle</w:t>
      </w:r>
    </w:p>
    <w:p w14:paraId="49D071F6" w14:textId="77777777" w:rsidR="00303EEF" w:rsidRDefault="00303EEF" w:rsidP="00746534">
      <w:pPr>
        <w:spacing w:line="280" w:lineRule="exact"/>
        <w:rPr>
          <w:b/>
          <w:color w:val="0064B1"/>
          <w:sz w:val="24"/>
          <w:szCs w:val="24"/>
        </w:rPr>
      </w:pPr>
    </w:p>
    <w:p w14:paraId="15034BF8" w14:textId="483E064A" w:rsidR="00AA0F39" w:rsidRDefault="00303EEF" w:rsidP="00746534">
      <w:pPr>
        <w:spacing w:line="280" w:lineRule="exact"/>
        <w:rPr>
          <w:b/>
          <w:color w:val="0064B1"/>
          <w:sz w:val="24"/>
          <w:szCs w:val="24"/>
        </w:rPr>
      </w:pPr>
      <w:r>
        <w:rPr>
          <w:b/>
          <w:color w:val="0064B1"/>
          <w:sz w:val="24"/>
          <w:szCs w:val="24"/>
        </w:rPr>
        <w:t>W</w:t>
      </w:r>
      <w:r w:rsidRPr="00303EEF">
        <w:rPr>
          <w:b/>
          <w:color w:val="0064B1"/>
          <w:sz w:val="24"/>
          <w:szCs w:val="24"/>
        </w:rPr>
        <w:t xml:space="preserve">arum Medizin und Zahnmedizin enger zusammenarbeiten </w:t>
      </w:r>
      <w:r w:rsidR="009B18ED">
        <w:rPr>
          <w:b/>
          <w:color w:val="0064B1"/>
          <w:sz w:val="24"/>
          <w:szCs w:val="24"/>
        </w:rPr>
        <w:t>sollten</w:t>
      </w:r>
    </w:p>
    <w:p w14:paraId="7FC90A58" w14:textId="77777777" w:rsidR="00303EEF" w:rsidRDefault="00303EEF" w:rsidP="00746534">
      <w:pPr>
        <w:spacing w:line="280" w:lineRule="exact"/>
      </w:pPr>
    </w:p>
    <w:p w14:paraId="5ABE7483" w14:textId="7135E16E" w:rsidR="00A571E6" w:rsidRPr="00AA0F39" w:rsidRDefault="00D92485" w:rsidP="008967EB">
      <w:pPr>
        <w:spacing w:line="280" w:lineRule="exact"/>
        <w:rPr>
          <w:b/>
          <w:bCs/>
        </w:rPr>
      </w:pPr>
      <w:r w:rsidRPr="00AA0F39">
        <w:rPr>
          <w:b/>
          <w:bCs/>
        </w:rPr>
        <w:t>Berlin</w:t>
      </w:r>
      <w:r w:rsidR="00AA0F39" w:rsidRPr="00AA0F39">
        <w:rPr>
          <w:b/>
          <w:bCs/>
        </w:rPr>
        <w:t xml:space="preserve">, </w:t>
      </w:r>
      <w:r w:rsidRPr="00AA0F39">
        <w:rPr>
          <w:b/>
          <w:bCs/>
        </w:rPr>
        <w:t xml:space="preserve">31. Oktober 2025 </w:t>
      </w:r>
      <w:r w:rsidR="009F2556" w:rsidRPr="00AA0F39">
        <w:rPr>
          <w:b/>
          <w:bCs/>
        </w:rPr>
        <w:t xml:space="preserve">– </w:t>
      </w:r>
      <w:r w:rsidR="006625D8" w:rsidRPr="006625D8">
        <w:rPr>
          <w:b/>
          <w:bCs/>
        </w:rPr>
        <w:t>Diabetes mellitus und Parodontitis gehören zu den häufigsten chronischen Erkrankungen in Deutschland: Rund 9,1 Millionen Menschen leben mit Diabetes</w:t>
      </w:r>
      <w:r w:rsidR="006625D8">
        <w:rPr>
          <w:b/>
          <w:bCs/>
        </w:rPr>
        <w:t xml:space="preserve"> [1]</w:t>
      </w:r>
      <w:r w:rsidR="006625D8" w:rsidRPr="006625D8">
        <w:rPr>
          <w:b/>
          <w:bCs/>
        </w:rPr>
        <w:t>, etwa 14 Millionen sind von schwerer Parodontitis betroffen</w:t>
      </w:r>
      <w:r w:rsidR="006625D8">
        <w:rPr>
          <w:b/>
          <w:bCs/>
        </w:rPr>
        <w:t xml:space="preserve"> [2]</w:t>
      </w:r>
      <w:r w:rsidR="006625D8" w:rsidRPr="006625D8">
        <w:rPr>
          <w:b/>
          <w:bCs/>
        </w:rPr>
        <w:t xml:space="preserve">. Beide Krankheiten stehen in enger Wechselwirkung – und zeigen exemplarisch, wie wichtig eine stärkere Zusammenarbeit zwischen </w:t>
      </w:r>
      <w:r w:rsidR="006625D8">
        <w:rPr>
          <w:b/>
          <w:bCs/>
        </w:rPr>
        <w:t>Medizin</w:t>
      </w:r>
      <w:r w:rsidR="006625D8" w:rsidRPr="006625D8">
        <w:rPr>
          <w:b/>
          <w:bCs/>
        </w:rPr>
        <w:t xml:space="preserve"> und Zahnmedizin ist. Auf der heutigen Pressekonferenz im Rahmen des Gemeinschaftskongresses fordern Experten eine bessere fachübergreifende Vernetzung.</w:t>
      </w:r>
      <w:r w:rsidR="0016794C" w:rsidRPr="00AA0F39">
        <w:rPr>
          <w:b/>
          <w:bCs/>
          <w:noProof/>
          <w:sz w:val="2"/>
          <w:szCs w:val="2"/>
        </w:rPr>
        <w:drawing>
          <wp:anchor distT="0" distB="0" distL="0" distR="0" simplePos="0" relativeHeight="251659264" behindDoc="1" locked="0" layoutInCell="1" allowOverlap="1" wp14:anchorId="71C35A7A" wp14:editId="0CB76FA2">
            <wp:simplePos x="0" y="0"/>
            <wp:positionH relativeFrom="margin">
              <wp:align>center</wp:align>
            </wp:positionH>
            <wp:positionV relativeFrom="page">
              <wp:posOffset>680720</wp:posOffset>
            </wp:positionV>
            <wp:extent cx="6839991" cy="15240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991" cy="152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ABBAF" w14:textId="59A5E4C3" w:rsidR="00A571E6" w:rsidRDefault="00A571E6" w:rsidP="008967EB">
      <w:pPr>
        <w:spacing w:line="280" w:lineRule="exact"/>
      </w:pPr>
    </w:p>
    <w:p w14:paraId="5C1715B7" w14:textId="726D0369" w:rsidR="00C44AD3" w:rsidRDefault="002F75C2" w:rsidP="002F75C2">
      <w:pPr>
        <w:spacing w:line="280" w:lineRule="exact"/>
      </w:pPr>
      <w:r w:rsidRPr="002F75C2">
        <w:t>„Die Mundhöhle ist kein isolierter Raum, sondern integraler Bestandteil der Körperoberfläche“, erklärt Prof. Dr. Henrik Dommisch, Direktor der Abteilung für Parodontologie, Oralmedizin und Oralchirurgie an der Charité</w:t>
      </w:r>
      <w:r w:rsidR="00BC4DE5">
        <w:t xml:space="preserve"> - Universitätsmedizin</w:t>
      </w:r>
      <w:r w:rsidRPr="002F75C2">
        <w:t xml:space="preserve"> Berlin. „</w:t>
      </w:r>
      <w:r w:rsidR="00084867">
        <w:t xml:space="preserve">Fortgeschrittene </w:t>
      </w:r>
      <w:r w:rsidRPr="002F75C2">
        <w:t xml:space="preserve">Parodontitis ist daher nicht nur ein lokales Problem, sondern </w:t>
      </w:r>
      <w:r w:rsidR="00C44AD3">
        <w:t>induziert systemische Entzündungs</w:t>
      </w:r>
      <w:r w:rsidR="00084867">
        <w:t>reaktionen</w:t>
      </w:r>
      <w:r w:rsidR="00C44AD3">
        <w:t>,</w:t>
      </w:r>
      <w:r w:rsidR="00EF3787">
        <w:t xml:space="preserve"> u.a. durch oral</w:t>
      </w:r>
      <w:r w:rsidR="00E45FC1">
        <w:t xml:space="preserve">-pathogene </w:t>
      </w:r>
      <w:r w:rsidR="00EF3787">
        <w:t>Bakterien</w:t>
      </w:r>
      <w:r w:rsidR="006704AE">
        <w:t>, welche</w:t>
      </w:r>
      <w:r w:rsidR="00C44AD3">
        <w:t xml:space="preserve"> über den Blutstrom Gewebe fern der Mundhöhle</w:t>
      </w:r>
      <w:r w:rsidR="006704AE">
        <w:t xml:space="preserve"> </w:t>
      </w:r>
      <w:r w:rsidR="00C44AD3">
        <w:t>beeinflussen k</w:t>
      </w:r>
      <w:r w:rsidR="007808B6">
        <w:t>önnen</w:t>
      </w:r>
      <w:r w:rsidRPr="002F75C2">
        <w:t>.“</w:t>
      </w:r>
      <w:r w:rsidR="00C44AD3">
        <w:t xml:space="preserve"> </w:t>
      </w:r>
    </w:p>
    <w:p w14:paraId="782C1609" w14:textId="77777777" w:rsidR="00C44AD3" w:rsidRDefault="00C44AD3" w:rsidP="002F75C2">
      <w:pPr>
        <w:spacing w:line="280" w:lineRule="exact"/>
      </w:pPr>
    </w:p>
    <w:p w14:paraId="61080F29" w14:textId="0242F0E8" w:rsidR="00C44AD3" w:rsidRDefault="00264673" w:rsidP="002F75C2">
      <w:pPr>
        <w:spacing w:line="280" w:lineRule="exact"/>
      </w:pPr>
      <w:r>
        <w:t>D</w:t>
      </w:r>
      <w:r w:rsidRPr="00302660">
        <w:t>ie enge Verbindung zwischen Allgemein- und Mundgesundheit</w:t>
      </w:r>
      <w:r>
        <w:t xml:space="preserve"> unterstreicht a</w:t>
      </w:r>
      <w:r w:rsidR="00302660" w:rsidRPr="00302660">
        <w:t>uch Prof. Dr. Knut Mai, Direktor der Klinik für Endokrinologie, Stoffwechsel- und Ernährungsmedizin an der Charité</w:t>
      </w:r>
      <w:r>
        <w:t>:</w:t>
      </w:r>
      <w:r w:rsidR="00302660" w:rsidRPr="00302660">
        <w:t xml:space="preserve"> „Bei Diabetes spielen nicht nur metabolische Faktoren eine Rolle</w:t>
      </w:r>
      <w:r>
        <w:t>. E</w:t>
      </w:r>
      <w:r w:rsidR="00302660" w:rsidRPr="00302660">
        <w:t xml:space="preserve">ntzündliche Prozesse sind maßgeblich an der Entstehung typischer Spätfolgen </w:t>
      </w:r>
      <w:r w:rsidR="00433838">
        <w:t xml:space="preserve">eines Diabetes wie einem erhöhten Risiko für Herzinfarkt und Schlaganfall oder Nierenerkrankungen </w:t>
      </w:r>
      <w:r w:rsidR="00302660" w:rsidRPr="00302660">
        <w:t>beteiligt.</w:t>
      </w:r>
      <w:r w:rsidR="00433838">
        <w:t>"</w:t>
      </w:r>
      <w:r w:rsidR="00302660" w:rsidRPr="00302660">
        <w:t xml:space="preserve"> Dieses Zusammenspiel zeig</w:t>
      </w:r>
      <w:r w:rsidR="00433838">
        <w:t>e</w:t>
      </w:r>
      <w:r w:rsidR="00302660" w:rsidRPr="00302660">
        <w:t xml:space="preserve"> sich besonders deutlich im Zusammenhang von Parodontitis und Diabetes mellitus. </w:t>
      </w:r>
      <w:r w:rsidR="00433838">
        <w:t>„</w:t>
      </w:r>
      <w:r w:rsidR="00302660" w:rsidRPr="00302660">
        <w:t xml:space="preserve">Wer seine Blutzuckerwerte stabil halten möchte, sollte </w:t>
      </w:r>
      <w:r w:rsidR="00433838">
        <w:t xml:space="preserve">unter anderem </w:t>
      </w:r>
      <w:r w:rsidR="00302660" w:rsidRPr="00302660">
        <w:t>auf eine gute Mundgesundheit achten.“</w:t>
      </w:r>
    </w:p>
    <w:p w14:paraId="3B3DC9A9" w14:textId="77777777" w:rsidR="00264673" w:rsidRDefault="00264673" w:rsidP="002F75C2">
      <w:pPr>
        <w:spacing w:line="280" w:lineRule="exact"/>
        <w:rPr>
          <w:b/>
          <w:bCs/>
        </w:rPr>
      </w:pPr>
    </w:p>
    <w:p w14:paraId="55EFF785" w14:textId="70CA2840" w:rsidR="00EE1512" w:rsidRPr="00EE1512" w:rsidRDefault="008F2DC8" w:rsidP="002F75C2">
      <w:pPr>
        <w:spacing w:line="280" w:lineRule="exact"/>
        <w:rPr>
          <w:b/>
          <w:bCs/>
        </w:rPr>
      </w:pPr>
      <w:r>
        <w:rPr>
          <w:b/>
          <w:bCs/>
        </w:rPr>
        <w:t>"Schwachstelle</w:t>
      </w:r>
      <w:r w:rsidR="00E42E5D">
        <w:rPr>
          <w:b/>
          <w:bCs/>
        </w:rPr>
        <w:t>"</w:t>
      </w:r>
      <w:r>
        <w:rPr>
          <w:b/>
          <w:bCs/>
        </w:rPr>
        <w:t xml:space="preserve"> Zahn</w:t>
      </w:r>
    </w:p>
    <w:p w14:paraId="2E2B8430" w14:textId="567AFDC7" w:rsidR="00C44AD3" w:rsidRDefault="00C44AD3" w:rsidP="002F75C2">
      <w:pPr>
        <w:spacing w:line="280" w:lineRule="exact"/>
      </w:pPr>
    </w:p>
    <w:p w14:paraId="47669B0D" w14:textId="486FBAAE" w:rsidR="00C44AD3" w:rsidRDefault="00433838" w:rsidP="00C44AD3">
      <w:pPr>
        <w:spacing w:line="280" w:lineRule="exact"/>
      </w:pPr>
      <w:r>
        <w:t xml:space="preserve">Die Mundhöhle ist Teil der Körperoberfläche – mit dem Zahn als </w:t>
      </w:r>
      <w:r w:rsidR="002434E6">
        <w:t>„</w:t>
      </w:r>
      <w:r>
        <w:t>besondere</w:t>
      </w:r>
      <w:r w:rsidR="00AA3526">
        <w:t>r</w:t>
      </w:r>
      <w:r>
        <w:t xml:space="preserve"> Schwachstelle</w:t>
      </w:r>
      <w:r w:rsidR="002434E6">
        <w:t>“</w:t>
      </w:r>
      <w:r>
        <w:t xml:space="preserve">: </w:t>
      </w:r>
      <w:r w:rsidR="002434E6">
        <w:t xml:space="preserve">Dieser </w:t>
      </w:r>
      <w:r>
        <w:t>ragt aus dem Knochen in eine bakterienreiche Umgebung</w:t>
      </w:r>
      <w:r w:rsidR="006E2C32">
        <w:t>, ist jedoch gleichzeitig die einzige Körperoberfläche, die sich nicht ständig erneuert. D</w:t>
      </w:r>
      <w:r w:rsidR="008F2DC8">
        <w:t xml:space="preserve">ie Grenzfläche schützt </w:t>
      </w:r>
      <w:r>
        <w:t>nur ein dünnes Gewebeband</w:t>
      </w:r>
      <w:r w:rsidR="008F2DC8">
        <w:t>, das</w:t>
      </w:r>
      <w:r w:rsidR="00D3217A">
        <w:t xml:space="preserve"> </w:t>
      </w:r>
      <w:r w:rsidR="00DC5443">
        <w:t>gerade</w:t>
      </w:r>
      <w:r w:rsidR="008F2DC8">
        <w:t xml:space="preserve"> etwas mehr als </w:t>
      </w:r>
      <w:r w:rsidR="00246212">
        <w:t xml:space="preserve">zwei </w:t>
      </w:r>
      <w:r w:rsidR="008F2DC8">
        <w:t>Millimeter</w:t>
      </w:r>
      <w:r w:rsidR="00F15361">
        <w:t xml:space="preserve"> breit ist und </w:t>
      </w:r>
      <w:r w:rsidR="008F2DC8">
        <w:t xml:space="preserve"> </w:t>
      </w:r>
      <w:r w:rsidR="00B11819">
        <w:t xml:space="preserve">aus </w:t>
      </w:r>
      <w:r w:rsidR="008F2DC8">
        <w:t>Saumepithel</w:t>
      </w:r>
      <w:r w:rsidR="00D3217A">
        <w:t xml:space="preserve"> und Bindegewebe</w:t>
      </w:r>
      <w:r w:rsidR="00F15361">
        <w:t xml:space="preserve"> besteht</w:t>
      </w:r>
      <w:r>
        <w:t xml:space="preserve">. Wird diese Barriere etwa durch ein </w:t>
      </w:r>
      <w:r w:rsidR="000B4DC4">
        <w:t>dy</w:t>
      </w:r>
      <w:r w:rsidR="001D2632">
        <w:t>s</w:t>
      </w:r>
      <w:r w:rsidR="000B4DC4">
        <w:t xml:space="preserve">biotisch verändertes </w:t>
      </w:r>
      <w:r>
        <w:t>Mikrobiom, Diabetes</w:t>
      </w:r>
      <w:r w:rsidR="000B4DC4">
        <w:t xml:space="preserve"> mellitus</w:t>
      </w:r>
      <w:r>
        <w:t xml:space="preserve"> oder </w:t>
      </w:r>
      <w:r w:rsidR="000F60AB">
        <w:t>Rauchen</w:t>
      </w:r>
      <w:r>
        <w:t xml:space="preserve"> geschwächt, reagiert der Körper mit </w:t>
      </w:r>
      <w:r w:rsidR="000F60AB">
        <w:t xml:space="preserve">einer ausgeprägteren </w:t>
      </w:r>
      <w:r>
        <w:t xml:space="preserve">Entzündung. Dabei können Bakterien und Botenstoffe in den Blutkreislauf gelangen und </w:t>
      </w:r>
      <w:r w:rsidR="00950507">
        <w:t xml:space="preserve">eine </w:t>
      </w:r>
      <w:r>
        <w:t xml:space="preserve">systemische </w:t>
      </w:r>
      <w:r w:rsidR="00950507">
        <w:t xml:space="preserve">Entzündung, wie auch bei </w:t>
      </w:r>
      <w:r>
        <w:t>Herz-Kreislauf-</w:t>
      </w:r>
      <w:r w:rsidR="008F2DC8">
        <w:t>Erkrankungen</w:t>
      </w:r>
      <w:r>
        <w:t>, Rheuma oder Diabetes</w:t>
      </w:r>
      <w:r w:rsidR="00F34D7B">
        <w:t xml:space="preserve"> mellitus</w:t>
      </w:r>
      <w:r>
        <w:t xml:space="preserve"> verstärken. </w:t>
      </w:r>
      <w:r w:rsidR="00950507">
        <w:t xml:space="preserve">So haben Diabetespatient*innen </w:t>
      </w:r>
      <w:r w:rsidR="00950507">
        <w:lastRenderedPageBreak/>
        <w:t xml:space="preserve">mit </w:t>
      </w:r>
      <w:r w:rsidR="00950507" w:rsidRPr="00950507">
        <w:t xml:space="preserve">Parodontitis </w:t>
      </w:r>
      <w:r w:rsidR="00950507">
        <w:t xml:space="preserve">eine deutlich höhere Herz-Kreislauf-Sterblichkeit als ohne Parodontitis. </w:t>
      </w:r>
      <w:r w:rsidR="008F2DC8">
        <w:t>Kann die</w:t>
      </w:r>
      <w:r>
        <w:t xml:space="preserve"> Entzündung </w:t>
      </w:r>
      <w:r w:rsidR="008F2DC8">
        <w:t>nicht gestoppt werden</w:t>
      </w:r>
      <w:r>
        <w:t xml:space="preserve">, </w:t>
      </w:r>
      <w:r w:rsidR="00CB2A2F">
        <w:t xml:space="preserve">wird der Entzündungsprozess </w:t>
      </w:r>
      <w:r w:rsidR="00971638">
        <w:t>aufrechterhalten</w:t>
      </w:r>
      <w:r w:rsidR="00CB2A2F">
        <w:t xml:space="preserve">, um die Integrität der Körperoberfläche </w:t>
      </w:r>
      <w:r w:rsidR="00E97F4F">
        <w:t>wieder herzustellen. D.h. ohne Therapie bleib</w:t>
      </w:r>
      <w:r w:rsidR="00215DF3">
        <w:t xml:space="preserve">t die Entzündung </w:t>
      </w:r>
      <w:r w:rsidR="00971638">
        <w:t>bestehen,</w:t>
      </w:r>
      <w:r w:rsidR="00215DF3">
        <w:t xml:space="preserve"> bis der zahntragende Knochen entzündlich zerstört </w:t>
      </w:r>
      <w:r w:rsidR="00D70DC6">
        <w:t xml:space="preserve">ist und </w:t>
      </w:r>
      <w:r w:rsidR="000B35B7">
        <w:t xml:space="preserve">der </w:t>
      </w:r>
      <w:r w:rsidR="00D70DC6">
        <w:t>Zahn</w:t>
      </w:r>
      <w:r w:rsidR="0062454A">
        <w:t xml:space="preserve"> als sich nicht erneuernde und Biofilm-kontaminierte Oberfläche</w:t>
      </w:r>
      <w:r w:rsidR="0039066C">
        <w:t xml:space="preserve"> verloren geht.</w:t>
      </w:r>
      <w:r w:rsidR="000B35B7">
        <w:t xml:space="preserve"> </w:t>
      </w:r>
      <w:r w:rsidR="00950507">
        <w:t xml:space="preserve">„Im Gegensatz zum </w:t>
      </w:r>
      <w:r w:rsidR="00762602">
        <w:t xml:space="preserve"> </w:t>
      </w:r>
      <w:r w:rsidR="00EE1512">
        <w:t>diabetische</w:t>
      </w:r>
      <w:r w:rsidR="00950507">
        <w:t>n</w:t>
      </w:r>
      <w:r w:rsidR="00EE1512">
        <w:t xml:space="preserve"> Fuß</w:t>
      </w:r>
      <w:r w:rsidR="00762602">
        <w:t xml:space="preserve">, der nicht heilt, </w:t>
      </w:r>
      <w:r w:rsidR="00950507">
        <w:t xml:space="preserve">und dann </w:t>
      </w:r>
      <w:r w:rsidR="00EE1512">
        <w:t xml:space="preserve">im schlimmsten Fall </w:t>
      </w:r>
      <w:r w:rsidR="00762602">
        <w:t>a</w:t>
      </w:r>
      <w:r w:rsidR="00EE1512">
        <w:t>mputiert werden</w:t>
      </w:r>
      <w:r w:rsidR="00950507">
        <w:t xml:space="preserve"> muss</w:t>
      </w:r>
      <w:r w:rsidR="00762602">
        <w:t>," führt</w:t>
      </w:r>
      <w:r w:rsidR="008F2DC8">
        <w:t xml:space="preserve"> </w:t>
      </w:r>
      <w:r w:rsidR="00762602">
        <w:t xml:space="preserve"> Dommisch aus, </w:t>
      </w:r>
      <w:r w:rsidR="00E56D42">
        <w:t>„</w:t>
      </w:r>
      <w:r w:rsidR="00950507">
        <w:t xml:space="preserve">amputieren sich </w:t>
      </w:r>
      <w:r w:rsidR="00EE1512">
        <w:t>die Zähne</w:t>
      </w:r>
      <w:r w:rsidR="00762602">
        <w:t xml:space="preserve"> </w:t>
      </w:r>
      <w:r w:rsidR="00EE1512">
        <w:t>bei fortgeschrittener Parodontitis quasi selbst</w:t>
      </w:r>
      <w:r w:rsidR="00C44C94">
        <w:t>, wenn keine Therapie der Erkrankung erfolgt</w:t>
      </w:r>
      <w:r w:rsidR="00EE1512">
        <w:t>: Sie fallen aus, damit die Integr</w:t>
      </w:r>
      <w:r w:rsidR="00030059">
        <w:t>ität</w:t>
      </w:r>
      <w:r w:rsidR="00EE1512">
        <w:t xml:space="preserve"> der Körperoberfläche wieder</w:t>
      </w:r>
      <w:r w:rsidR="00E56D42">
        <w:t xml:space="preserve">hergestellt </w:t>
      </w:r>
      <w:r w:rsidR="00326D3E">
        <w:t>werden kann</w:t>
      </w:r>
      <w:r>
        <w:t>.</w:t>
      </w:r>
      <w:r w:rsidR="009B47EF">
        <w:t>"</w:t>
      </w:r>
      <w:r w:rsidR="00EE1512">
        <w:t xml:space="preserve"> </w:t>
      </w:r>
    </w:p>
    <w:p w14:paraId="17926BEF" w14:textId="317BDA43" w:rsidR="00C44AD3" w:rsidRDefault="00C44AD3" w:rsidP="002F75C2">
      <w:pPr>
        <w:spacing w:line="280" w:lineRule="exact"/>
      </w:pPr>
    </w:p>
    <w:p w14:paraId="777115E0" w14:textId="5048E768" w:rsidR="00302660" w:rsidRPr="00264673" w:rsidRDefault="00302660" w:rsidP="002F75C2">
      <w:pPr>
        <w:spacing w:line="280" w:lineRule="exact"/>
        <w:rPr>
          <w:b/>
          <w:bCs/>
        </w:rPr>
      </w:pPr>
      <w:r w:rsidRPr="00264673">
        <w:rPr>
          <w:b/>
          <w:bCs/>
        </w:rPr>
        <w:t>Interventionen bringen Verbesserungen in beide Richtungen</w:t>
      </w:r>
    </w:p>
    <w:p w14:paraId="5B76E164" w14:textId="77777777" w:rsidR="00302660" w:rsidRDefault="00302660" w:rsidP="002F75C2">
      <w:pPr>
        <w:spacing w:line="280" w:lineRule="exact"/>
      </w:pPr>
    </w:p>
    <w:p w14:paraId="46356F8E" w14:textId="6C1A20B4" w:rsidR="009B47EF" w:rsidRDefault="003B0C1E" w:rsidP="002F75C2">
      <w:pPr>
        <w:spacing w:line="280" w:lineRule="exact"/>
      </w:pPr>
      <w:r>
        <w:t xml:space="preserve">Wird die Entzündung durch eine </w:t>
      </w:r>
      <w:r w:rsidR="009B47EF">
        <w:t xml:space="preserve">erfolgreiche Parodontitistherapie </w:t>
      </w:r>
      <w:r>
        <w:t xml:space="preserve">zurückgedrängt, </w:t>
      </w:r>
      <w:r w:rsidR="009B47EF">
        <w:t>verbessert sich d</w:t>
      </w:r>
      <w:r w:rsidR="00302660">
        <w:t>er</w:t>
      </w:r>
      <w:r w:rsidR="009B47EF">
        <w:t xml:space="preserve"> Blutzucker</w:t>
      </w:r>
      <w:r w:rsidR="00E56D42">
        <w:t>spiegel</w:t>
      </w:r>
      <w:r w:rsidR="009B47EF">
        <w:t xml:space="preserve"> nachweislich: Der HbA1c-Wert sinkt bei </w:t>
      </w:r>
      <w:r w:rsidR="00F15361">
        <w:t>Menschen mit Diabetes mellitus</w:t>
      </w:r>
      <w:r w:rsidR="009B47EF">
        <w:t xml:space="preserve"> im Schnitt um 0,3 bis 0,6 Prozent. Umgekehrt unterscheidet sich der parodontale Zustand bei gut eingestelltem Diabetes</w:t>
      </w:r>
      <w:r w:rsidR="00927DEA">
        <w:t xml:space="preserve"> mellitus</w:t>
      </w:r>
      <w:r w:rsidR="009B47EF">
        <w:t xml:space="preserve"> nicht von dem gesunder Personen.</w:t>
      </w:r>
      <w:r w:rsidR="006C5629">
        <w:t xml:space="preserve"> Zudem verlieren</w:t>
      </w:r>
      <w:r w:rsidR="00302660">
        <w:t xml:space="preserve"> </w:t>
      </w:r>
      <w:r w:rsidR="006C5629">
        <w:t>Diabetes-Patientinnen und -patienten mit guter glykämischer Kontrolle seltener Zähne als jene mit dauerhaft erhöhten Blutzuckerwerten.</w:t>
      </w:r>
    </w:p>
    <w:p w14:paraId="68848B78" w14:textId="3FE770AE" w:rsidR="009B47EF" w:rsidRDefault="009B47EF" w:rsidP="002F75C2">
      <w:pPr>
        <w:spacing w:line="280" w:lineRule="exact"/>
      </w:pPr>
    </w:p>
    <w:p w14:paraId="2CDAA73E" w14:textId="7584CD7D" w:rsidR="009B47EF" w:rsidRPr="00CC26CC" w:rsidRDefault="00CC26CC" w:rsidP="002F75C2">
      <w:pPr>
        <w:spacing w:line="280" w:lineRule="exact"/>
        <w:rPr>
          <w:b/>
          <w:bCs/>
        </w:rPr>
      </w:pPr>
      <w:r w:rsidRPr="00CC26CC">
        <w:rPr>
          <w:b/>
          <w:bCs/>
        </w:rPr>
        <w:t>Evidenz in gemeinsamer Leitlinie gebündelt</w:t>
      </w:r>
    </w:p>
    <w:p w14:paraId="4A685B97" w14:textId="77777777" w:rsidR="00C44AD3" w:rsidRDefault="00C44AD3" w:rsidP="008967EB">
      <w:pPr>
        <w:spacing w:line="280" w:lineRule="exact"/>
      </w:pPr>
    </w:p>
    <w:p w14:paraId="698A6901" w14:textId="2493B68E" w:rsidR="00CC26CC" w:rsidRDefault="009B47EF" w:rsidP="00CC26CC">
      <w:pPr>
        <w:spacing w:line="280" w:lineRule="exact"/>
      </w:pPr>
      <w:r>
        <w:t>Die mit über 6.000 Publikationen wissenschaftlich sehr gut belegte</w:t>
      </w:r>
      <w:r w:rsidR="008C5D7F">
        <w:t>n</w:t>
      </w:r>
      <w:r>
        <w:t xml:space="preserve"> Verbindung zwischen Diabetes und Parodontitis mündete i</w:t>
      </w:r>
      <w:r w:rsidR="008967EB">
        <w:t xml:space="preserve">m Jahr 2024 </w:t>
      </w:r>
      <w:r w:rsidR="00E56D42">
        <w:t>in einer Leitlinie, die erstmals</w:t>
      </w:r>
      <w:r w:rsidR="00CC26CC">
        <w:t xml:space="preserve"> gemeinsam von einer zahnmedizinischen und </w:t>
      </w:r>
      <w:r w:rsidR="008C5D7F">
        <w:t xml:space="preserve">einer </w:t>
      </w:r>
      <w:r w:rsidR="00CC26CC">
        <w:t>medizinischen Fachgesellschaft entwickelt</w:t>
      </w:r>
      <w:r w:rsidR="008C5D7F">
        <w:t xml:space="preserve"> </w:t>
      </w:r>
      <w:r w:rsidR="00CC26CC">
        <w:t xml:space="preserve">worden ist. Die </w:t>
      </w:r>
      <w:r w:rsidR="00CC26CC" w:rsidRPr="00325674">
        <w:t>S2k-Leitlinie</w:t>
      </w:r>
      <w:r w:rsidR="00CC26CC">
        <w:t xml:space="preserve"> "Diabetes und Parodontitis" </w:t>
      </w:r>
      <w:r w:rsidR="006804CE">
        <w:t xml:space="preserve">[3] </w:t>
      </w:r>
      <w:r w:rsidR="00CC26CC">
        <w:t xml:space="preserve">unter Federführung der Deutschen Gesellschaft für Parodontologie (DG PARO), der Deutschen Diabetes Gesellschaft (DDG) und der Deutschen Gesellschaft für Zahn-, Mund- und Kieferheilkunde (DGZMK) bündelt diese Evidenz und liefert praxisnahe Empfehlungen für beide Professionen. </w:t>
      </w:r>
    </w:p>
    <w:p w14:paraId="42551E2C" w14:textId="02CC190B" w:rsidR="00CC26CC" w:rsidRDefault="00CC26CC" w:rsidP="00CC26CC">
      <w:pPr>
        <w:spacing w:line="280" w:lineRule="exact"/>
      </w:pPr>
    </w:p>
    <w:p w14:paraId="6AE96C5F" w14:textId="721B1BA7" w:rsidR="00CC26CC" w:rsidRPr="00196F17" w:rsidRDefault="008C5D7F" w:rsidP="00CC26CC">
      <w:pPr>
        <w:spacing w:line="280" w:lineRule="exact"/>
        <w:rPr>
          <w:b/>
          <w:bCs/>
        </w:rPr>
      </w:pPr>
      <w:r>
        <w:rPr>
          <w:b/>
          <w:bCs/>
        </w:rPr>
        <w:t xml:space="preserve">Mehr gegenseitige Aufmerksamkeit </w:t>
      </w:r>
      <w:r w:rsidR="00012A54">
        <w:rPr>
          <w:b/>
          <w:bCs/>
        </w:rPr>
        <w:t>und Etablieren einer</w:t>
      </w:r>
      <w:r w:rsidR="00196F17" w:rsidRPr="00196F17">
        <w:rPr>
          <w:b/>
          <w:bCs/>
        </w:rPr>
        <w:t xml:space="preserve"> Überweisungskultur</w:t>
      </w:r>
    </w:p>
    <w:p w14:paraId="573F2104" w14:textId="77777777" w:rsidR="00CC26CC" w:rsidRDefault="00CC26CC" w:rsidP="00CC26CC">
      <w:pPr>
        <w:spacing w:line="280" w:lineRule="exact"/>
      </w:pPr>
    </w:p>
    <w:p w14:paraId="41FD3328" w14:textId="289B1DFF" w:rsidR="00196F17" w:rsidRDefault="00A02362" w:rsidP="00196F17">
      <w:pPr>
        <w:spacing w:line="280" w:lineRule="exact"/>
      </w:pPr>
      <w:r>
        <w:t>T</w:t>
      </w:r>
      <w:r w:rsidR="00463ED0">
        <w:t>rotz der vorhandenen wissenschaftlichen Evidenz gibt</w:t>
      </w:r>
      <w:r w:rsidR="00CC26CC">
        <w:t xml:space="preserve"> es </w:t>
      </w:r>
      <w:r w:rsidR="00463ED0">
        <w:t xml:space="preserve">bei der Zusammenarbeit </w:t>
      </w:r>
      <w:r>
        <w:t xml:space="preserve">von </w:t>
      </w:r>
      <w:r w:rsidR="00E56D42">
        <w:t>Mediziner/innen</w:t>
      </w:r>
      <w:r w:rsidR="00463ED0">
        <w:t xml:space="preserve"> und </w:t>
      </w:r>
      <w:r w:rsidR="00E56D42">
        <w:t xml:space="preserve">Zahnmediziner/innen </w:t>
      </w:r>
      <w:r>
        <w:t xml:space="preserve">nicht nur in Puncto Diabetes und Parodontitis noch Verbesserungspotential. </w:t>
      </w:r>
      <w:r w:rsidR="00A71977" w:rsidRPr="00A71977">
        <w:t xml:space="preserve"> </w:t>
      </w:r>
      <w:r w:rsidR="00A71977">
        <w:t>Um Risikopatienten frühzeitig zu identifizieren und die Versorgung ganzheitlich zu verbessern, wäre e</w:t>
      </w:r>
      <w:r w:rsidR="00196F17">
        <w:t xml:space="preserve">ine stärkere gegenseitige Awareness </w:t>
      </w:r>
      <w:r w:rsidR="00A71977" w:rsidRPr="00A71977">
        <w:t xml:space="preserve"> </w:t>
      </w:r>
      <w:r w:rsidR="00A71977">
        <w:t xml:space="preserve">und ein verbindlicher Kommunikationsweg zwischen den Professionen entscheidend, wie beide Experten betonen. </w:t>
      </w:r>
    </w:p>
    <w:p w14:paraId="7A395D43" w14:textId="77777777" w:rsidR="00196F17" w:rsidRDefault="00196F17" w:rsidP="00CC26CC">
      <w:pPr>
        <w:spacing w:line="280" w:lineRule="exact"/>
      </w:pPr>
    </w:p>
    <w:p w14:paraId="4641EC2B" w14:textId="36352332" w:rsidR="008967EB" w:rsidRDefault="00CC26CC" w:rsidP="00CC26CC">
      <w:pPr>
        <w:spacing w:line="280" w:lineRule="exact"/>
      </w:pPr>
      <w:r>
        <w:t xml:space="preserve">Während Ärztinnen und Ärzte bei diabetischen Folgeerkrankungen routinemäßig Überweisungen an Kollegen und Kolleginnen aus der Augenheilkunde, der Nephrologie oder </w:t>
      </w:r>
      <w:r w:rsidR="00A02362">
        <w:t xml:space="preserve">der </w:t>
      </w:r>
      <w:r w:rsidR="00B5176D">
        <w:t xml:space="preserve">Kardiologie </w:t>
      </w:r>
      <w:r>
        <w:t>ausstellen, existiert im Verhältnis zwischen Medizin und Zahnmedizin</w:t>
      </w:r>
      <w:r w:rsidR="00196F17">
        <w:t xml:space="preserve"> bisher</w:t>
      </w:r>
      <w:r>
        <w:t xml:space="preserve"> keine solche Überweisungskultur</w:t>
      </w:r>
      <w:r w:rsidR="00196F17">
        <w:t xml:space="preserve"> und auch kein kassenrechtlich zugrundeliegender Prozess</w:t>
      </w:r>
      <w:r>
        <w:t xml:space="preserve">. Ein Zahnarzt kann seinem Patienten zwar empfehlen, sich internistisch untersuchen zu lassen – eine formale Überweisung mit einer Rückmeldung in Form eines Arztbriefes ist jedoch </w:t>
      </w:r>
      <w:r w:rsidR="00196F17">
        <w:t>(</w:t>
      </w:r>
      <w:r w:rsidR="00AB5110">
        <w:t>noch</w:t>
      </w:r>
      <w:r w:rsidR="00196F17">
        <w:t>)</w:t>
      </w:r>
      <w:r w:rsidR="00AB5110">
        <w:t xml:space="preserve"> </w:t>
      </w:r>
      <w:r w:rsidR="00196F17">
        <w:t>nicht vorgesehen</w:t>
      </w:r>
      <w:r>
        <w:t xml:space="preserve">. Umgekehrt können auch Diabetologinnen und Diabetologen keine Überweisung </w:t>
      </w:r>
      <w:r w:rsidR="00A02362">
        <w:t xml:space="preserve">an </w:t>
      </w:r>
      <w:r>
        <w:t xml:space="preserve">eine Zahnarztpraxis ausstellen. </w:t>
      </w:r>
      <w:r w:rsidR="00B10F37" w:rsidRPr="00B10F37">
        <w:t>Im blauen „Gesundheits-Pass Diabetes“ ist seit Kurzem auch eine jährliche Untersuchung auf Parodontitis vorgesehen – eine erfreuliche und wichtige Entwicklung, wie beide Experten hervorhoben.</w:t>
      </w:r>
    </w:p>
    <w:p w14:paraId="2F940A22" w14:textId="77777777" w:rsidR="00B10F37" w:rsidRDefault="00B10F37" w:rsidP="00CC26CC">
      <w:pPr>
        <w:spacing w:line="280" w:lineRule="exact"/>
      </w:pPr>
    </w:p>
    <w:p w14:paraId="2AF08992" w14:textId="77777777" w:rsidR="00D46F9E" w:rsidRDefault="00D46F9E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FF85D40" w14:textId="4E04D873" w:rsidR="00AD4C3D" w:rsidRPr="00264673" w:rsidRDefault="00AD4C3D" w:rsidP="00CC26CC">
      <w:pPr>
        <w:spacing w:line="280" w:lineRule="exact"/>
        <w:rPr>
          <w:b/>
          <w:bCs/>
        </w:rPr>
      </w:pPr>
      <w:r w:rsidRPr="00264673">
        <w:rPr>
          <w:b/>
          <w:bCs/>
        </w:rPr>
        <w:lastRenderedPageBreak/>
        <w:t xml:space="preserve">Diagnostische Tools für ein fächerübergreifendes Screening </w:t>
      </w:r>
      <w:r w:rsidR="00303EEF">
        <w:rPr>
          <w:b/>
          <w:bCs/>
        </w:rPr>
        <w:t>existieren schon</w:t>
      </w:r>
    </w:p>
    <w:p w14:paraId="5E8240D4" w14:textId="45FDF722" w:rsidR="00AD4C3D" w:rsidRDefault="00AD4C3D" w:rsidP="00CC26CC">
      <w:pPr>
        <w:spacing w:line="280" w:lineRule="exact"/>
      </w:pPr>
    </w:p>
    <w:p w14:paraId="2EEFEF36" w14:textId="4E979A9C" w:rsidR="009554EE" w:rsidRDefault="00A02362" w:rsidP="009554EE">
      <w:pPr>
        <w:spacing w:line="280" w:lineRule="exact"/>
      </w:pPr>
      <w:r w:rsidRPr="00A02362">
        <w:t xml:space="preserve">Hausärztinnen und Hausärzte können das Risiko für Parodontitis bei Menschen mit Prädiabetes oder Diabetes heute </w:t>
      </w:r>
      <w:r>
        <w:t xml:space="preserve">bereits </w:t>
      </w:r>
      <w:r w:rsidRPr="00A02362">
        <w:t>einfach einschätzen</w:t>
      </w:r>
      <w:r>
        <w:t xml:space="preserve"> - </w:t>
      </w:r>
      <w:r w:rsidRPr="00A02362">
        <w:t>zum Beispiel mit einem kurzen Selbsttest</w:t>
      </w:r>
      <w:r>
        <w:t xml:space="preserve"> [4]</w:t>
      </w:r>
      <w:r w:rsidR="00B10F37">
        <w:t>.</w:t>
      </w:r>
      <w:r w:rsidR="009554EE" w:rsidRPr="00A02362">
        <w:t xml:space="preserve"> Auf Basis dieser Ergebnisse kann eine </w:t>
      </w:r>
      <w:r w:rsidR="009554EE">
        <w:t>Empfehlung</w:t>
      </w:r>
      <w:r w:rsidR="009554EE" w:rsidRPr="00A02362">
        <w:t xml:space="preserve"> zur zahnärztlichen Abklärung </w:t>
      </w:r>
      <w:r w:rsidR="009554EE">
        <w:t>gegen werden</w:t>
      </w:r>
      <w:r w:rsidR="009554EE" w:rsidRPr="00A02362">
        <w:t>.</w:t>
      </w:r>
    </w:p>
    <w:p w14:paraId="350E3AD1" w14:textId="77777777" w:rsidR="009554EE" w:rsidRPr="00A02362" w:rsidRDefault="009554EE" w:rsidP="009554EE">
      <w:pPr>
        <w:spacing w:line="280" w:lineRule="exact"/>
      </w:pPr>
    </w:p>
    <w:p w14:paraId="63B33E01" w14:textId="647B30B6" w:rsidR="002E0651" w:rsidRPr="00A02362" w:rsidRDefault="00A02362" w:rsidP="002E0651">
      <w:pPr>
        <w:spacing w:line="280" w:lineRule="exact"/>
      </w:pPr>
      <w:r>
        <w:t>Zahnärztliche Teams könnten umgekehrt</w:t>
      </w:r>
      <w:r w:rsidR="00BF63A2">
        <w:t xml:space="preserve"> bei Parodontitis-Patienten</w:t>
      </w:r>
      <w:r>
        <w:t xml:space="preserve"> den</w:t>
      </w:r>
      <w:r w:rsidR="00BF63A2">
        <w:t xml:space="preserve"> Blutdruck und de</w:t>
      </w:r>
      <w:r>
        <w:t xml:space="preserve">n </w:t>
      </w:r>
      <w:r w:rsidR="00BF63A2">
        <w:t>Taillenumfang messen</w:t>
      </w:r>
      <w:r w:rsidR="002E0651">
        <w:t xml:space="preserve"> </w:t>
      </w:r>
      <w:r w:rsidR="002E0651" w:rsidRPr="00A02362">
        <w:t xml:space="preserve">– zusammen mit einem Diabetes-Risikotest </w:t>
      </w:r>
      <w:r w:rsidR="002E0651">
        <w:t xml:space="preserve">(Fragebogen) [5] </w:t>
      </w:r>
      <w:r w:rsidR="002E0651" w:rsidRPr="00A02362">
        <w:t>ergibt sich so ein guter Hinweis auf ein mögliches Diabetesrisiko.</w:t>
      </w:r>
      <w:r w:rsidR="0029348E">
        <w:t xml:space="preserve"> </w:t>
      </w:r>
      <w:r w:rsidR="002F4ABA">
        <w:t>„</w:t>
      </w:r>
      <w:r w:rsidR="00B77922">
        <w:t>Dies sind einfache Maßnahmen, die auch in der zahnärztlichen Praxis gut umgesetzt werden können. Bei Bedarf b</w:t>
      </w:r>
      <w:r w:rsidR="0029348E">
        <w:t xml:space="preserve">ietet </w:t>
      </w:r>
      <w:r w:rsidR="00B77922">
        <w:t xml:space="preserve">die </w:t>
      </w:r>
      <w:r w:rsidR="00206E35">
        <w:t xml:space="preserve">hausärztliche </w:t>
      </w:r>
      <w:r w:rsidR="00B77922">
        <w:t xml:space="preserve">Bestimmung des </w:t>
      </w:r>
      <w:r w:rsidR="0029348E">
        <w:t>sogenannten HbA1c zudem einen einfachen Laborparam</w:t>
      </w:r>
      <w:r w:rsidR="00B77922">
        <w:t>e</w:t>
      </w:r>
      <w:r w:rsidR="0029348E">
        <w:t>ter</w:t>
      </w:r>
      <w:r w:rsidR="00B77922">
        <w:t>, mit dem sich oft ein bestehender Diabetes mellitus nachweisen lässt</w:t>
      </w:r>
      <w:r w:rsidR="002F4ABA">
        <w:t>", erklärt Mai.</w:t>
      </w:r>
    </w:p>
    <w:p w14:paraId="4727AB12" w14:textId="0B2E3E78" w:rsidR="00A02362" w:rsidRDefault="00A02362" w:rsidP="001A61B5">
      <w:pPr>
        <w:spacing w:line="280" w:lineRule="exact"/>
        <w:rPr>
          <w:b/>
          <w:bCs/>
        </w:rPr>
      </w:pPr>
    </w:p>
    <w:p w14:paraId="31FC0314" w14:textId="1452742F" w:rsidR="00A571E6" w:rsidRPr="00115E08" w:rsidRDefault="00115E08" w:rsidP="001A61B5">
      <w:pPr>
        <w:spacing w:line="280" w:lineRule="exact"/>
        <w:rPr>
          <w:b/>
          <w:bCs/>
        </w:rPr>
      </w:pPr>
      <w:r w:rsidRPr="00115E08">
        <w:rPr>
          <w:b/>
          <w:bCs/>
        </w:rPr>
        <w:t xml:space="preserve">Interdisziplinäre </w:t>
      </w:r>
      <w:r>
        <w:rPr>
          <w:b/>
          <w:bCs/>
        </w:rPr>
        <w:t>Früherkennung</w:t>
      </w:r>
      <w:r w:rsidRPr="00115E08">
        <w:rPr>
          <w:b/>
          <w:bCs/>
        </w:rPr>
        <w:t xml:space="preserve"> senkt </w:t>
      </w:r>
      <w:r w:rsidR="00945A04">
        <w:rPr>
          <w:b/>
          <w:bCs/>
        </w:rPr>
        <w:t>Erk</w:t>
      </w:r>
      <w:r w:rsidRPr="00115E08">
        <w:rPr>
          <w:b/>
          <w:bCs/>
        </w:rPr>
        <w:t>rank</w:t>
      </w:r>
      <w:r w:rsidR="00945A04">
        <w:rPr>
          <w:b/>
          <w:bCs/>
        </w:rPr>
        <w:t>ungs</w:t>
      </w:r>
      <w:r w:rsidRPr="00115E08">
        <w:rPr>
          <w:b/>
          <w:bCs/>
        </w:rPr>
        <w:t>last und Kosten</w:t>
      </w:r>
    </w:p>
    <w:p w14:paraId="70CD6ECD" w14:textId="77777777" w:rsidR="00115E08" w:rsidRDefault="00115E08" w:rsidP="001A61B5">
      <w:pPr>
        <w:spacing w:line="280" w:lineRule="exact"/>
      </w:pPr>
    </w:p>
    <w:p w14:paraId="4BAEC412" w14:textId="6508A7A2" w:rsidR="00115E08" w:rsidRDefault="00115E08" w:rsidP="001A61B5">
      <w:pPr>
        <w:spacing w:line="280" w:lineRule="exact"/>
      </w:pPr>
      <w:r>
        <w:t xml:space="preserve">Eine engere Zusammenarbeit zwischen Internisten und Zahnmedizinern sowie eine </w:t>
      </w:r>
      <w:r w:rsidR="00945A04">
        <w:t xml:space="preserve">gezielte </w:t>
      </w:r>
      <w:r>
        <w:t>Aufklärung der Bevölkerung hätten nicht nur medizinische, sondern auch gesundheitspolitische Bedeutung</w:t>
      </w:r>
      <w:r w:rsidR="00945A04">
        <w:t xml:space="preserve">. </w:t>
      </w:r>
      <w:r>
        <w:t>Diabetes und Parodontitis verursachen in fortgeschrittenen Stadien</w:t>
      </w:r>
      <w:r w:rsidR="00945A04">
        <w:t xml:space="preserve"> – vor allem durch Folgeerkrankungen und deren Therapiebedarfe - </w:t>
      </w:r>
      <w:r>
        <w:t xml:space="preserve">erhebliche Behandlungskosten. Eine frühzeitige, fachübergreifende Prävention </w:t>
      </w:r>
      <w:r w:rsidR="00B77922">
        <w:t xml:space="preserve">könnte </w:t>
      </w:r>
      <w:r w:rsidR="00945A04">
        <w:t>die Lebensqualität deutlich verbessern und zugleich das Gesundheitssystem spürbar entlasten.</w:t>
      </w:r>
    </w:p>
    <w:p w14:paraId="2F903398" w14:textId="4A181ED7" w:rsidR="00945A04" w:rsidRDefault="00945A04" w:rsidP="001A61B5">
      <w:pPr>
        <w:spacing w:line="280" w:lineRule="exact"/>
      </w:pPr>
    </w:p>
    <w:p w14:paraId="1A640908" w14:textId="5154629A" w:rsidR="00945A04" w:rsidRPr="00303EEF" w:rsidRDefault="00945A04" w:rsidP="001A61B5">
      <w:pPr>
        <w:spacing w:line="280" w:lineRule="exact"/>
        <w:rPr>
          <w:sz w:val="20"/>
          <w:szCs w:val="20"/>
        </w:rPr>
      </w:pPr>
      <w:r w:rsidRPr="00303EEF">
        <w:rPr>
          <w:sz w:val="20"/>
          <w:szCs w:val="20"/>
        </w:rPr>
        <w:t>Quellen:</w:t>
      </w:r>
    </w:p>
    <w:p w14:paraId="1D92AEA4" w14:textId="1F42927C" w:rsidR="000134B5" w:rsidRPr="00303EEF" w:rsidRDefault="000134B5" w:rsidP="000134B5">
      <w:pPr>
        <w:spacing w:line="280" w:lineRule="exact"/>
        <w:rPr>
          <w:sz w:val="20"/>
          <w:szCs w:val="20"/>
        </w:rPr>
      </w:pPr>
    </w:p>
    <w:p w14:paraId="57FA6EC5" w14:textId="6F3F50E7" w:rsidR="000134B5" w:rsidRPr="0052257E" w:rsidRDefault="000134B5" w:rsidP="000134B5">
      <w:pPr>
        <w:spacing w:line="280" w:lineRule="exact"/>
        <w:rPr>
          <w:sz w:val="20"/>
          <w:szCs w:val="20"/>
        </w:rPr>
      </w:pPr>
      <w:r w:rsidRPr="0052257E">
        <w:rPr>
          <w:sz w:val="20"/>
          <w:szCs w:val="20"/>
        </w:rPr>
        <w:t xml:space="preserve">[1] Deutsche Diabetes Gesellschaft: Factsheet - Fakten zu Diabetes, Stand 2025, </w:t>
      </w:r>
      <w:hyperlink r:id="rId7" w:history="1">
        <w:r w:rsidRPr="0052257E">
          <w:rPr>
            <w:rStyle w:val="Hyperlink"/>
            <w:color w:val="auto"/>
            <w:sz w:val="20"/>
            <w:szCs w:val="20"/>
          </w:rPr>
          <w:t>https://www.ddg.info/ddg-factsheet</w:t>
        </w:r>
      </w:hyperlink>
      <w:r w:rsidRPr="0052257E">
        <w:rPr>
          <w:sz w:val="20"/>
          <w:szCs w:val="20"/>
        </w:rPr>
        <w:t xml:space="preserve"> </w:t>
      </w:r>
    </w:p>
    <w:p w14:paraId="78CB356D" w14:textId="77777777" w:rsidR="00AA0F39" w:rsidRPr="0052257E" w:rsidRDefault="00AA0F39" w:rsidP="000134B5">
      <w:pPr>
        <w:spacing w:line="280" w:lineRule="exact"/>
        <w:rPr>
          <w:sz w:val="20"/>
          <w:szCs w:val="20"/>
        </w:rPr>
      </w:pPr>
    </w:p>
    <w:p w14:paraId="6B0F8DF9" w14:textId="37D4C660" w:rsidR="000D4856" w:rsidRPr="0052257E" w:rsidRDefault="000D4856" w:rsidP="000134B5">
      <w:pPr>
        <w:spacing w:line="280" w:lineRule="exact"/>
        <w:rPr>
          <w:sz w:val="20"/>
          <w:szCs w:val="20"/>
        </w:rPr>
      </w:pPr>
      <w:r w:rsidRPr="0052257E">
        <w:rPr>
          <w:sz w:val="20"/>
          <w:szCs w:val="20"/>
        </w:rPr>
        <w:t xml:space="preserve">[2] Deutschen Mundgesundheitsstudie (DMS • 6), </w:t>
      </w:r>
      <w:hyperlink r:id="rId8" w:tgtFrame="_blank" w:tooltip="Ergebnisportal DMS • 6" w:history="1">
        <w:r w:rsidRPr="0052257E">
          <w:rPr>
            <w:rStyle w:val="Hyperlink"/>
            <w:color w:val="auto"/>
            <w:sz w:val="20"/>
            <w:szCs w:val="20"/>
          </w:rPr>
          <w:t>http://www.deutsche-mundgesundheitsstudie.de/</w:t>
        </w:r>
      </w:hyperlink>
    </w:p>
    <w:p w14:paraId="79BEA685" w14:textId="3580305D" w:rsidR="00DB6DD1" w:rsidRPr="0052257E" w:rsidRDefault="00DB6DD1" w:rsidP="000134B5">
      <w:pPr>
        <w:spacing w:line="280" w:lineRule="exact"/>
        <w:rPr>
          <w:sz w:val="20"/>
          <w:szCs w:val="20"/>
        </w:rPr>
      </w:pPr>
    </w:p>
    <w:p w14:paraId="11CC1FDA" w14:textId="5468994F" w:rsidR="00325674" w:rsidRPr="0052257E" w:rsidRDefault="00325674" w:rsidP="000134B5">
      <w:pPr>
        <w:spacing w:line="280" w:lineRule="exact"/>
        <w:rPr>
          <w:sz w:val="20"/>
          <w:szCs w:val="20"/>
        </w:rPr>
      </w:pPr>
      <w:r w:rsidRPr="0052257E">
        <w:rPr>
          <w:sz w:val="20"/>
          <w:szCs w:val="20"/>
        </w:rPr>
        <w:t xml:space="preserve">[3] DG PARO, DDG, DGZMK: „Diabetes und Parodontitis“, Langversion 2.0, 2024, AWMF-Registriernummer: 083-015, </w:t>
      </w:r>
      <w:hyperlink r:id="rId9" w:history="1">
        <w:r w:rsidRPr="0052257E">
          <w:rPr>
            <w:rStyle w:val="Hyperlink"/>
            <w:color w:val="auto"/>
            <w:sz w:val="20"/>
            <w:szCs w:val="20"/>
          </w:rPr>
          <w:t>https://register.awmf.org/de/leitlinien/detail/083-015</w:t>
        </w:r>
      </w:hyperlink>
      <w:r w:rsidRPr="0052257E">
        <w:rPr>
          <w:sz w:val="20"/>
          <w:szCs w:val="20"/>
        </w:rPr>
        <w:t xml:space="preserve">, (Zugriff am: </w:t>
      </w:r>
      <w:r w:rsidR="006804CE" w:rsidRPr="0052257E">
        <w:rPr>
          <w:sz w:val="20"/>
          <w:szCs w:val="20"/>
        </w:rPr>
        <w:t>19</w:t>
      </w:r>
      <w:r w:rsidRPr="0052257E">
        <w:rPr>
          <w:sz w:val="20"/>
          <w:szCs w:val="20"/>
        </w:rPr>
        <w:t>.</w:t>
      </w:r>
      <w:r w:rsidR="006804CE" w:rsidRPr="0052257E">
        <w:rPr>
          <w:sz w:val="20"/>
          <w:szCs w:val="20"/>
        </w:rPr>
        <w:t>10</w:t>
      </w:r>
      <w:r w:rsidRPr="0052257E">
        <w:rPr>
          <w:sz w:val="20"/>
          <w:szCs w:val="20"/>
        </w:rPr>
        <w:t>.</w:t>
      </w:r>
      <w:r w:rsidR="006804CE" w:rsidRPr="0052257E">
        <w:rPr>
          <w:sz w:val="20"/>
          <w:szCs w:val="20"/>
        </w:rPr>
        <w:t>2025</w:t>
      </w:r>
      <w:r w:rsidRPr="0052257E">
        <w:rPr>
          <w:sz w:val="20"/>
          <w:szCs w:val="20"/>
        </w:rPr>
        <w:t>)</w:t>
      </w:r>
    </w:p>
    <w:p w14:paraId="0873459E" w14:textId="49428594" w:rsidR="00DB6DD1" w:rsidRPr="0052257E" w:rsidRDefault="00DB6DD1" w:rsidP="000134B5">
      <w:pPr>
        <w:spacing w:line="280" w:lineRule="exact"/>
        <w:rPr>
          <w:sz w:val="20"/>
          <w:szCs w:val="20"/>
        </w:rPr>
      </w:pPr>
    </w:p>
    <w:p w14:paraId="22C9C761" w14:textId="28D68935" w:rsidR="00E9586E" w:rsidRPr="0052257E" w:rsidRDefault="00AD4C3D" w:rsidP="001E34E9">
      <w:pPr>
        <w:spacing w:line="280" w:lineRule="exact"/>
        <w:rPr>
          <w:spacing w:val="-2"/>
          <w:sz w:val="20"/>
          <w:szCs w:val="20"/>
        </w:rPr>
      </w:pPr>
      <w:r w:rsidRPr="0052257E">
        <w:rPr>
          <w:spacing w:val="-2"/>
          <w:sz w:val="20"/>
          <w:szCs w:val="20"/>
        </w:rPr>
        <w:t xml:space="preserve">[4] </w:t>
      </w:r>
      <w:r w:rsidR="00E9586E" w:rsidRPr="0052257E">
        <w:rPr>
          <w:spacing w:val="-2"/>
          <w:sz w:val="20"/>
          <w:szCs w:val="20"/>
        </w:rPr>
        <w:t>Parodontitis-Selbsttest, entwickelt von der DG Paro in Kooperation mit der Universität Greifswald</w:t>
      </w:r>
    </w:p>
    <w:p w14:paraId="6ECDD162" w14:textId="5DBFD135" w:rsidR="001E34E9" w:rsidRPr="0052257E" w:rsidRDefault="00E9586E" w:rsidP="001E34E9">
      <w:pPr>
        <w:spacing w:line="280" w:lineRule="exact"/>
        <w:rPr>
          <w:spacing w:val="-2"/>
          <w:sz w:val="20"/>
          <w:szCs w:val="20"/>
        </w:rPr>
      </w:pPr>
      <w:r w:rsidRPr="0052257E">
        <w:rPr>
          <w:spacing w:val="-2"/>
          <w:sz w:val="20"/>
          <w:szCs w:val="20"/>
        </w:rPr>
        <w:t>https://selbsttest.dgparo.de/</w:t>
      </w:r>
    </w:p>
    <w:p w14:paraId="717963D2" w14:textId="58F7769C" w:rsidR="001E34E9" w:rsidRPr="0052257E" w:rsidRDefault="001E34E9" w:rsidP="001E34E9">
      <w:pPr>
        <w:spacing w:line="280" w:lineRule="exact"/>
        <w:rPr>
          <w:spacing w:val="-2"/>
          <w:sz w:val="20"/>
          <w:szCs w:val="20"/>
        </w:rPr>
      </w:pPr>
    </w:p>
    <w:p w14:paraId="288E1A50" w14:textId="475F61E1" w:rsidR="001E34E9" w:rsidRPr="0052257E" w:rsidRDefault="00BF63A2" w:rsidP="001E34E9">
      <w:pPr>
        <w:spacing w:line="280" w:lineRule="exact"/>
        <w:rPr>
          <w:spacing w:val="-2"/>
          <w:sz w:val="20"/>
          <w:szCs w:val="20"/>
        </w:rPr>
      </w:pPr>
      <w:r w:rsidRPr="0052257E">
        <w:rPr>
          <w:spacing w:val="-2"/>
          <w:sz w:val="20"/>
          <w:szCs w:val="20"/>
        </w:rPr>
        <w:t xml:space="preserve">[5] Diabetes Risikotest entwickelt vom </w:t>
      </w:r>
      <w:r w:rsidRPr="0052257E">
        <w:rPr>
          <w:sz w:val="20"/>
          <w:szCs w:val="20"/>
          <w:shd w:val="clear" w:color="auto" w:fill="FFFFFF"/>
        </w:rPr>
        <w:t xml:space="preserve">Deutschen Institut für Ernährungsforschung Potsdam-Rehbrücke (DIfE), </w:t>
      </w:r>
      <w:hyperlink r:id="rId10" w:history="1">
        <w:r w:rsidRPr="0052257E">
          <w:rPr>
            <w:rStyle w:val="Hyperlink"/>
            <w:color w:val="auto"/>
            <w:sz w:val="20"/>
            <w:szCs w:val="20"/>
            <w:shd w:val="clear" w:color="auto" w:fill="FFFFFF"/>
          </w:rPr>
          <w:t>https://www.dife.de/news/diabetes-risiko-test/</w:t>
        </w:r>
      </w:hyperlink>
      <w:r w:rsidRPr="0052257E">
        <w:rPr>
          <w:sz w:val="20"/>
          <w:szCs w:val="20"/>
          <w:shd w:val="clear" w:color="auto" w:fill="FFFFFF"/>
        </w:rPr>
        <w:t>, Onlinetest unter: https://drs.dife.de/</w:t>
      </w:r>
    </w:p>
    <w:p w14:paraId="44D5701B" w14:textId="49EC180C" w:rsidR="001E34E9" w:rsidRPr="0052257E" w:rsidRDefault="001E34E9" w:rsidP="001E34E9">
      <w:pPr>
        <w:spacing w:line="280" w:lineRule="exact"/>
        <w:rPr>
          <w:spacing w:val="-2"/>
          <w:sz w:val="20"/>
          <w:szCs w:val="20"/>
        </w:rPr>
      </w:pPr>
    </w:p>
    <w:p w14:paraId="212A1760" w14:textId="2A2000D4" w:rsidR="001E34E9" w:rsidRDefault="001E34E9" w:rsidP="001E34E9">
      <w:pPr>
        <w:spacing w:line="280" w:lineRule="exact"/>
        <w:rPr>
          <w:color w:val="6D6E71"/>
          <w:spacing w:val="-2"/>
          <w:sz w:val="20"/>
          <w:szCs w:val="20"/>
        </w:rPr>
      </w:pPr>
    </w:p>
    <w:p w14:paraId="28CC9C29" w14:textId="3A0D2694" w:rsidR="00D46F9E" w:rsidRDefault="00D46F9E" w:rsidP="001E34E9">
      <w:pPr>
        <w:spacing w:line="280" w:lineRule="exact"/>
        <w:rPr>
          <w:color w:val="6D6E71"/>
          <w:spacing w:val="-2"/>
          <w:sz w:val="20"/>
          <w:szCs w:val="20"/>
        </w:rPr>
      </w:pPr>
    </w:p>
    <w:p w14:paraId="258DD335" w14:textId="24A31A39" w:rsidR="00D46F9E" w:rsidRDefault="00D46F9E" w:rsidP="001E34E9">
      <w:pPr>
        <w:spacing w:line="280" w:lineRule="exact"/>
        <w:rPr>
          <w:color w:val="6D6E71"/>
          <w:spacing w:val="-2"/>
          <w:sz w:val="20"/>
          <w:szCs w:val="20"/>
        </w:rPr>
      </w:pPr>
    </w:p>
    <w:p w14:paraId="2031C816" w14:textId="77777777" w:rsidR="00D46F9E" w:rsidRDefault="00D46F9E" w:rsidP="001E34E9">
      <w:pPr>
        <w:spacing w:line="280" w:lineRule="exact"/>
        <w:rPr>
          <w:color w:val="6D6E71"/>
          <w:spacing w:val="-2"/>
          <w:sz w:val="20"/>
          <w:szCs w:val="20"/>
        </w:rPr>
      </w:pPr>
    </w:p>
    <w:p w14:paraId="4A0A7923" w14:textId="77777777" w:rsidR="00D46F9E" w:rsidRPr="009E4606" w:rsidRDefault="00D46F9E" w:rsidP="00D46F9E">
      <w:pPr>
        <w:spacing w:line="300" w:lineRule="exact"/>
        <w:rPr>
          <w:sz w:val="20"/>
          <w:szCs w:val="20"/>
        </w:rPr>
      </w:pPr>
      <w:r w:rsidRPr="009E4606">
        <w:rPr>
          <w:sz w:val="20"/>
          <w:szCs w:val="20"/>
        </w:rPr>
        <w:t>Pressekontakt</w:t>
      </w:r>
    </w:p>
    <w:p w14:paraId="0ED62370" w14:textId="77777777" w:rsidR="00D46F9E" w:rsidRPr="009E4606" w:rsidRDefault="00D46F9E" w:rsidP="00D46F9E">
      <w:pPr>
        <w:spacing w:line="300" w:lineRule="exact"/>
        <w:rPr>
          <w:sz w:val="20"/>
          <w:szCs w:val="20"/>
        </w:rPr>
      </w:pPr>
      <w:r w:rsidRPr="009E4606">
        <w:rPr>
          <w:sz w:val="20"/>
          <w:szCs w:val="20"/>
        </w:rPr>
        <w:t>Dr. Kerstin Albrecht</w:t>
      </w:r>
    </w:p>
    <w:p w14:paraId="481A2C7F" w14:textId="77777777" w:rsidR="00D46F9E" w:rsidRPr="009E4606" w:rsidRDefault="00D46F9E" w:rsidP="00D46F9E">
      <w:pPr>
        <w:spacing w:line="300" w:lineRule="exact"/>
        <w:rPr>
          <w:sz w:val="20"/>
          <w:szCs w:val="20"/>
        </w:rPr>
      </w:pPr>
      <w:r w:rsidRPr="009E4606">
        <w:rPr>
          <w:sz w:val="20"/>
          <w:szCs w:val="20"/>
        </w:rPr>
        <w:t>Deutsche Gesellschaft für Zahn-, Mund- und Kieferheilkunde e.V. (DGZMK)</w:t>
      </w:r>
    </w:p>
    <w:p w14:paraId="2F29CF71" w14:textId="77777777" w:rsidR="00D46F9E" w:rsidRPr="009E4606" w:rsidRDefault="00D46F9E" w:rsidP="00D46F9E">
      <w:pPr>
        <w:spacing w:line="300" w:lineRule="exact"/>
        <w:rPr>
          <w:sz w:val="20"/>
          <w:szCs w:val="20"/>
        </w:rPr>
      </w:pPr>
      <w:hyperlink r:id="rId11" w:history="1">
        <w:r w:rsidRPr="00CE5565">
          <w:rPr>
            <w:rStyle w:val="Hyperlink"/>
            <w:sz w:val="20"/>
            <w:szCs w:val="20"/>
          </w:rPr>
          <w:t>presse@dgzmk.de</w:t>
        </w:r>
      </w:hyperlink>
      <w:r>
        <w:rPr>
          <w:sz w:val="20"/>
          <w:szCs w:val="20"/>
        </w:rPr>
        <w:t xml:space="preserve">, </w:t>
      </w:r>
      <w:r w:rsidRPr="009E4606">
        <w:rPr>
          <w:sz w:val="20"/>
          <w:szCs w:val="20"/>
        </w:rPr>
        <w:t>Telefon 0211 610198 - 15</w:t>
      </w:r>
    </w:p>
    <w:p w14:paraId="0AD7B6A4" w14:textId="5B194A6D" w:rsidR="001E34E9" w:rsidRDefault="001E34E9" w:rsidP="001E34E9">
      <w:pPr>
        <w:spacing w:line="280" w:lineRule="exact"/>
      </w:pPr>
    </w:p>
    <w:sectPr w:rsidR="001E34E9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BF23" w14:textId="77777777" w:rsidR="001D0B19" w:rsidRDefault="001D0B19" w:rsidP="0016794C">
      <w:r>
        <w:separator/>
      </w:r>
    </w:p>
  </w:endnote>
  <w:endnote w:type="continuationSeparator" w:id="0">
    <w:p w14:paraId="32AC5D69" w14:textId="77777777" w:rsidR="001D0B19" w:rsidRDefault="001D0B19" w:rsidP="0016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882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C88992" w14:textId="3324249F" w:rsidR="00567117" w:rsidRDefault="00567117">
            <w:pPr>
              <w:pStyle w:val="Fuzeil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9CBA" w14:textId="77777777" w:rsidR="001D0B19" w:rsidRDefault="001D0B19" w:rsidP="0016794C">
      <w:r>
        <w:separator/>
      </w:r>
    </w:p>
  </w:footnote>
  <w:footnote w:type="continuationSeparator" w:id="0">
    <w:p w14:paraId="42260F6E" w14:textId="77777777" w:rsidR="001D0B19" w:rsidRDefault="001D0B19" w:rsidP="0016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C"/>
    <w:rsid w:val="00012A54"/>
    <w:rsid w:val="000134B5"/>
    <w:rsid w:val="00016807"/>
    <w:rsid w:val="00030059"/>
    <w:rsid w:val="00037652"/>
    <w:rsid w:val="00054B37"/>
    <w:rsid w:val="00084867"/>
    <w:rsid w:val="000B35B7"/>
    <w:rsid w:val="000B4DC4"/>
    <w:rsid w:val="000D436C"/>
    <w:rsid w:val="000D4856"/>
    <w:rsid w:val="000F0394"/>
    <w:rsid w:val="000F60AB"/>
    <w:rsid w:val="00115E08"/>
    <w:rsid w:val="001252A8"/>
    <w:rsid w:val="0012635C"/>
    <w:rsid w:val="001402CB"/>
    <w:rsid w:val="0016794C"/>
    <w:rsid w:val="001741E6"/>
    <w:rsid w:val="0018786E"/>
    <w:rsid w:val="00193D6D"/>
    <w:rsid w:val="00196F17"/>
    <w:rsid w:val="001A61B5"/>
    <w:rsid w:val="001C2056"/>
    <w:rsid w:val="001D0B19"/>
    <w:rsid w:val="001D2632"/>
    <w:rsid w:val="001E34E9"/>
    <w:rsid w:val="00206E35"/>
    <w:rsid w:val="00215DF3"/>
    <w:rsid w:val="002434E6"/>
    <w:rsid w:val="00244E05"/>
    <w:rsid w:val="00246212"/>
    <w:rsid w:val="00255F1C"/>
    <w:rsid w:val="00264673"/>
    <w:rsid w:val="0029348E"/>
    <w:rsid w:val="002974B8"/>
    <w:rsid w:val="00297D8E"/>
    <w:rsid w:val="002A6A98"/>
    <w:rsid w:val="002C2AC6"/>
    <w:rsid w:val="002E0651"/>
    <w:rsid w:val="002E10DF"/>
    <w:rsid w:val="002F4ABA"/>
    <w:rsid w:val="002F75C2"/>
    <w:rsid w:val="00302660"/>
    <w:rsid w:val="00302B0A"/>
    <w:rsid w:val="00303EEF"/>
    <w:rsid w:val="00325674"/>
    <w:rsid w:val="00326D3E"/>
    <w:rsid w:val="00332524"/>
    <w:rsid w:val="00334686"/>
    <w:rsid w:val="00352BE9"/>
    <w:rsid w:val="00376ECF"/>
    <w:rsid w:val="0039066C"/>
    <w:rsid w:val="0039167D"/>
    <w:rsid w:val="003B0C1E"/>
    <w:rsid w:val="00423E02"/>
    <w:rsid w:val="00433838"/>
    <w:rsid w:val="0043728E"/>
    <w:rsid w:val="00463ED0"/>
    <w:rsid w:val="0048308C"/>
    <w:rsid w:val="0051709B"/>
    <w:rsid w:val="0052257E"/>
    <w:rsid w:val="005602E6"/>
    <w:rsid w:val="00567117"/>
    <w:rsid w:val="00573AD8"/>
    <w:rsid w:val="005A0803"/>
    <w:rsid w:val="005C6383"/>
    <w:rsid w:val="005D4E5E"/>
    <w:rsid w:val="00602EF9"/>
    <w:rsid w:val="0062454A"/>
    <w:rsid w:val="006478D1"/>
    <w:rsid w:val="006625D8"/>
    <w:rsid w:val="006704AE"/>
    <w:rsid w:val="006804CE"/>
    <w:rsid w:val="006B3DC9"/>
    <w:rsid w:val="006C5629"/>
    <w:rsid w:val="006E2C32"/>
    <w:rsid w:val="006F0835"/>
    <w:rsid w:val="00710081"/>
    <w:rsid w:val="007114EA"/>
    <w:rsid w:val="007352BF"/>
    <w:rsid w:val="00746534"/>
    <w:rsid w:val="00762602"/>
    <w:rsid w:val="007808B6"/>
    <w:rsid w:val="007A30CA"/>
    <w:rsid w:val="007A6415"/>
    <w:rsid w:val="007C4E3C"/>
    <w:rsid w:val="007E3D87"/>
    <w:rsid w:val="00807BC2"/>
    <w:rsid w:val="00813F7D"/>
    <w:rsid w:val="008967EB"/>
    <w:rsid w:val="008A213A"/>
    <w:rsid w:val="008B01AE"/>
    <w:rsid w:val="008C284E"/>
    <w:rsid w:val="008C5D7F"/>
    <w:rsid w:val="008C5F1C"/>
    <w:rsid w:val="008F2DC8"/>
    <w:rsid w:val="00927DEA"/>
    <w:rsid w:val="00945A04"/>
    <w:rsid w:val="00950507"/>
    <w:rsid w:val="009554EE"/>
    <w:rsid w:val="00962629"/>
    <w:rsid w:val="00971638"/>
    <w:rsid w:val="009A197F"/>
    <w:rsid w:val="009B18ED"/>
    <w:rsid w:val="009B47EF"/>
    <w:rsid w:val="009C1A99"/>
    <w:rsid w:val="009F2556"/>
    <w:rsid w:val="00A02362"/>
    <w:rsid w:val="00A571E6"/>
    <w:rsid w:val="00A71977"/>
    <w:rsid w:val="00A92FBF"/>
    <w:rsid w:val="00AA0F39"/>
    <w:rsid w:val="00AA3526"/>
    <w:rsid w:val="00AB5110"/>
    <w:rsid w:val="00AD0D72"/>
    <w:rsid w:val="00AD4C3D"/>
    <w:rsid w:val="00AE00E4"/>
    <w:rsid w:val="00B10F37"/>
    <w:rsid w:val="00B11819"/>
    <w:rsid w:val="00B13399"/>
    <w:rsid w:val="00B160A4"/>
    <w:rsid w:val="00B22A0B"/>
    <w:rsid w:val="00B505E8"/>
    <w:rsid w:val="00B5176D"/>
    <w:rsid w:val="00B67B4E"/>
    <w:rsid w:val="00B77922"/>
    <w:rsid w:val="00B823E0"/>
    <w:rsid w:val="00B96426"/>
    <w:rsid w:val="00BC4DE5"/>
    <w:rsid w:val="00BF1D3E"/>
    <w:rsid w:val="00BF63A2"/>
    <w:rsid w:val="00C237D6"/>
    <w:rsid w:val="00C30162"/>
    <w:rsid w:val="00C44AD3"/>
    <w:rsid w:val="00C44C94"/>
    <w:rsid w:val="00C46F93"/>
    <w:rsid w:val="00C7728C"/>
    <w:rsid w:val="00C918DE"/>
    <w:rsid w:val="00CB2A2F"/>
    <w:rsid w:val="00CC26CC"/>
    <w:rsid w:val="00D03BC3"/>
    <w:rsid w:val="00D162D4"/>
    <w:rsid w:val="00D21F17"/>
    <w:rsid w:val="00D3217A"/>
    <w:rsid w:val="00D34C88"/>
    <w:rsid w:val="00D46F9E"/>
    <w:rsid w:val="00D70DC6"/>
    <w:rsid w:val="00D92485"/>
    <w:rsid w:val="00DB6DD1"/>
    <w:rsid w:val="00DC5443"/>
    <w:rsid w:val="00E039E4"/>
    <w:rsid w:val="00E21AFF"/>
    <w:rsid w:val="00E42E5D"/>
    <w:rsid w:val="00E45FC1"/>
    <w:rsid w:val="00E56D42"/>
    <w:rsid w:val="00E9586E"/>
    <w:rsid w:val="00E97F4F"/>
    <w:rsid w:val="00EB28AE"/>
    <w:rsid w:val="00EE1512"/>
    <w:rsid w:val="00EF3787"/>
    <w:rsid w:val="00F15361"/>
    <w:rsid w:val="00F34D7B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AC35"/>
  <w15:chartTrackingRefBased/>
  <w15:docId w15:val="{4560B731-ABB6-4387-819B-CF624302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9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794C"/>
  </w:style>
  <w:style w:type="paragraph" w:styleId="Fuzeile">
    <w:name w:val="footer"/>
    <w:basedOn w:val="Standard"/>
    <w:link w:val="FuzeileZchn"/>
    <w:uiPriority w:val="99"/>
    <w:unhideWhenUsed/>
    <w:rsid w:val="001679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794C"/>
  </w:style>
  <w:style w:type="paragraph" w:styleId="Textkrper">
    <w:name w:val="Body Text"/>
    <w:basedOn w:val="Standard"/>
    <w:link w:val="TextkrperZchn"/>
    <w:uiPriority w:val="1"/>
    <w:qFormat/>
    <w:rsid w:val="00D92485"/>
    <w:pPr>
      <w:spacing w:before="13"/>
      <w:ind w:left="20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2485"/>
    <w:rPr>
      <w:rFonts w:ascii="Arial" w:eastAsia="Arial" w:hAnsi="Arial" w:cs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0134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34B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51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51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5110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5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5110"/>
    <w:rPr>
      <w:rFonts w:ascii="Arial" w:eastAsia="Arial" w:hAnsi="Arial" w:cs="Arial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196F17"/>
    <w:rPr>
      <w:b/>
      <w:bCs/>
    </w:rPr>
  </w:style>
  <w:style w:type="paragraph" w:styleId="berarbeitung">
    <w:name w:val="Revision"/>
    <w:hidden/>
    <w:uiPriority w:val="99"/>
    <w:semiHidden/>
    <w:rsid w:val="000D436C"/>
    <w:pPr>
      <w:spacing w:after="0" w:line="240" w:lineRule="auto"/>
    </w:pPr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5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50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e-mundgesundheitsstudie.shinyapps.io/Ergebnisporta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dg.info/ddg-factshee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esse@dgzmk.d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dife.de/news/diabetes-risiko-te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gister.awmf.org/de/leitlinien/detail/083-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Albrecht</dc:creator>
  <cp:keywords/>
  <dc:description/>
  <cp:lastModifiedBy>Kerstin Albrecht</cp:lastModifiedBy>
  <cp:revision>5</cp:revision>
  <dcterms:created xsi:type="dcterms:W3CDTF">2025-10-30T07:12:00Z</dcterms:created>
  <dcterms:modified xsi:type="dcterms:W3CDTF">2025-10-30T09:44:00Z</dcterms:modified>
</cp:coreProperties>
</file>